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C304E6">
        <w:rPr>
          <w:rFonts w:asciiTheme="minorHAnsi" w:hAnsiTheme="minorHAnsi" w:cs="Arial"/>
        </w:rPr>
        <w:t>Segue o detalhamento de cada item da proposta apresentada pelo Banco do Brasil para orientação nas assembleias: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/>
        </w:rPr>
        <w:t> </w:t>
      </w:r>
    </w:p>
    <w:p w:rsidR="00DA3AE0" w:rsidRPr="00C304E6" w:rsidRDefault="00DA3AE0" w:rsidP="00DA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PROPOSTA ESPECÍFICA DO BANCO DO BRASIL</w:t>
      </w:r>
    </w:p>
    <w:p w:rsidR="00DA3AE0" w:rsidRPr="00C304E6" w:rsidRDefault="00DA3AE0" w:rsidP="00DA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DETALHAMENTO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Será permitido o provimento transitório das funções de Gerente de Relacionamento e Gerente de Serviços em Unidades de Negócios nos casos de ausência por licença-saúde a partir do 61º dia de afastamento consecutivo.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Com esta proposta, mais funcionários poderão usufruir da substituição nas unidades de negócio, com mais um item de retorno da substituição. 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Aumentar em 20% o valor do auxílio-creche-dependentes com deficiência a partir da constatação da deficiência.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No BB o auxílio-creche para dependentes com deficiência é continua sem limite de idade após 71 meses. No mesmo valor do auxílio-creche. 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Como esta proposta o valor será reajustado em 20% desde a constatação da deficiência. O valor de 20% a mais será pago além do auxílio-creche em outra verba até 71 meses e após, em verba única.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  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Serão estendidos aos funcionários egressos de Bancos incorporados optantes pelo regulamento de pessoal do Banco os seguintes benefícios: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Perícia Odontológica (PAS)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Deslocamento para tratamento de saúde no País (PAS)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Doação ou recepção de órgãos e tecidos – transplante (PAS)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Remoção táxi aérea (PAS)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Licença para acompanhar pessoa enferma da família (</w:t>
      </w:r>
      <w:proofErr w:type="spellStart"/>
      <w:r w:rsidRPr="00C304E6">
        <w:rPr>
          <w:rFonts w:asciiTheme="minorHAnsi" w:hAnsiTheme="minorHAnsi" w:cs="Arial"/>
        </w:rPr>
        <w:t>Lapef</w:t>
      </w:r>
      <w:proofErr w:type="spellEnd"/>
      <w:r w:rsidRPr="00C304E6">
        <w:rPr>
          <w:rFonts w:asciiTheme="minorHAnsi" w:hAnsiTheme="minorHAnsi" w:cs="Arial"/>
        </w:rPr>
        <w:t>)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 é uma reivindicação histórica, desde que o BB incorporou os bancos Nossa Caixa, Besc e BEP, e se refere a pauta de isonomia. O benefício será para mais de 13 mil funcionários que não tinham esses benefícios.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lastRenderedPageBreak/>
        <w:t> 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 xml:space="preserve">•          Será concedida aos funcionários que exercem a função atendentes no SAC e prerrogativa do prazo de carência de </w:t>
      </w:r>
      <w:proofErr w:type="gramStart"/>
      <w:r w:rsidRPr="00C304E6">
        <w:rPr>
          <w:rFonts w:asciiTheme="minorHAnsi" w:hAnsiTheme="minorHAnsi" w:cs="Arial"/>
        </w:rPr>
        <w:t>1</w:t>
      </w:r>
      <w:proofErr w:type="gramEnd"/>
      <w:r w:rsidRPr="00C304E6">
        <w:rPr>
          <w:rFonts w:asciiTheme="minorHAnsi" w:hAnsiTheme="minorHAnsi" w:cs="Arial"/>
        </w:rPr>
        <w:t xml:space="preserve"> ano para a concorrência à remoção e nomeação via TAO.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 proposta atende reivindicação de retorno ao acordo coletivo de cláusula de diminuição da trava nas CABB e estendido ao SAC, retornando ao ACT.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O saldo de horas não trabalhadas correspondente ou superior a uma jornada de trabalho poderá ser compensado com a utilização de folgas e abonos.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Alguns funcionários, por necessidade pessoal fora das ausências permitidas, precisam fazer eventualmente uma jornada de trabalho reduzida e no ponto eletrônico consta como hora negativa. Estas horas precisam ser compensadas ou descontadas do salário no mês seguinte. Caso seja do interesse do funcionário, se o total de horas negativas for igual a uma jornada de trabalho pode ser convertido por abono ou folga, inclusive da justiça eleitoral.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Não poderá ser feita a conversão das horas que greve, que </w:t>
      </w:r>
      <w:proofErr w:type="gramStart"/>
      <w:r w:rsidRPr="00C304E6">
        <w:rPr>
          <w:rStyle w:val="nfase"/>
          <w:rFonts w:asciiTheme="minorHAnsi" w:hAnsiTheme="minorHAnsi" w:cs="Arial"/>
        </w:rPr>
        <w:t>serão compensada</w:t>
      </w:r>
      <w:proofErr w:type="gramEnd"/>
      <w:r w:rsidRPr="00C304E6">
        <w:rPr>
          <w:rStyle w:val="nfase"/>
          <w:rFonts w:asciiTheme="minorHAnsi" w:hAnsiTheme="minorHAnsi" w:cs="Arial"/>
        </w:rPr>
        <w:t xml:space="preserve"> e sem desconto ao final do prazo.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A ausência autorizada de um dia útil por ano para acompanhamento em internação hospitalar de cônjuge, companheiro (a), inscritos no Banco ou no INSS, filho e pais, poderá ser utilizada em horas, observada a jornada de trabalho praticada na data da assinatura do ACT.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As ausências autorizadas de dois dias úteis por ano para acompanhar filho ou dependente, menores de 14 anos a consulta/tratamento médico-odontológico, poderão ser utilizadas em horas, observada a jornada de trabalho praticada na data da assinatura do ACT.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As ausências autorizadas de dois dias úteis por ano para acompanhar o filho ou dependente com deficiência em consulta/tratamento médico-odontológico</w:t>
      </w:r>
      <w:proofErr w:type="gramStart"/>
      <w:r w:rsidRPr="00C304E6">
        <w:rPr>
          <w:rFonts w:asciiTheme="minorHAnsi" w:hAnsiTheme="minorHAnsi" w:cs="Arial"/>
        </w:rPr>
        <w:t>, poderão</w:t>
      </w:r>
      <w:proofErr w:type="gramEnd"/>
      <w:r w:rsidRPr="00C304E6">
        <w:rPr>
          <w:rFonts w:asciiTheme="minorHAnsi" w:hAnsiTheme="minorHAnsi" w:cs="Arial"/>
        </w:rPr>
        <w:t xml:space="preserve"> ser utilizadas em horas, observada a jornada de trabalho praticada na data da assinatura do ACT.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Estas três propostas tem o mesmo propósito, facilitando para quem usa as licenças para acompanhamento e tratamento, permitindo a conversão em horas.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lastRenderedPageBreak/>
        <w:t>Em casos de acompanhamento de filhos que necessitam de mais de uma vez e que não precise do dia inteiro, a funcionária ou funcionário pode reduzir o tempo, converter em horas e utilizar mais vezes.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Se na assinatura do acordo o funcionário praticar jornada de 6 horas, terá direito a 6 horas de folga até o próximo ACT, mesmo que durante o período mude para um cargo de 8 horas.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Caso tenha jornada de 8 e mude para jornada de 6 horas, terá garantido as 8 horas até o próximo acordo.  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O Banco facultará a ausência de funcionários eleitos, que não sejam representantes sindicais de base ou dirigentes sindicais, limitado a 60 (sessenta) funcionários por ano, para a participação do Congresso Nacional dos Funcionários do Banco do Brasil e da Conferência Nacional dos Bancários.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 é uma reivindicação histórica, que se constasse no ACT os abonos do Congresso e da Conferencia Nacional. Estas faltas eram negociadas ano a ano e fora do acordo.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A média histórica dos bancários de base sem mandato de delegado sindical e que participam do Congresso dos Funcionários é de 25. Tem ano que é 40 em outros 25, 30, 12. Para a Conferência é menor ainda. Lembrar que o Congresso sempre tem mais de cem bancários de base, mas </w:t>
      </w:r>
      <w:proofErr w:type="gramStart"/>
      <w:r w:rsidRPr="00C304E6">
        <w:rPr>
          <w:rStyle w:val="nfase"/>
          <w:rFonts w:asciiTheme="minorHAnsi" w:hAnsiTheme="minorHAnsi" w:cs="Arial"/>
        </w:rPr>
        <w:t>os delegados sindicais tem</w:t>
      </w:r>
      <w:proofErr w:type="gramEnd"/>
      <w:r w:rsidRPr="00C304E6">
        <w:rPr>
          <w:rStyle w:val="nfase"/>
          <w:rFonts w:asciiTheme="minorHAnsi" w:hAnsiTheme="minorHAnsi" w:cs="Arial"/>
        </w:rPr>
        <w:t xml:space="preserve"> as faltas previstas no acordo.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Será permitida a utilização das ausências do representante sindical de base eleito para participação no evento da posse.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Com esta proposta, os delegados sindicais eleitos e cujo evento de posse seja antes do mandato constante no edital da eleição, terá a falta abonada mesmo assim, e descontada do total de ausências permitidas.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Serão instituídas mesas temáticas sobre ascensão profissional, prevenção de conflitos, resultados do PCMSO, e saúde no trabalho com o prazo de 120 dias para a conclusão a partir da data de instalação.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Estas mesas chamaremos de Grupos de Trabalho e deverão ter data de início e fim, com emissão de relatório final.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lastRenderedPageBreak/>
        <w:t>O Grupo de Trabalho sobre ascensão é uma reivindicação que atende demanda da nossa minuta sobre discutir melhoria nos processos seletivos de ascensão e comissionamento.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O GT de prevenção de conflitos tratará dos casos de assédio moral denunciados e a forma de condução e uso do protocolo de resolução de conflitos. Também trataremos sobre melhoria nos processos de ouvidoria. </w:t>
      </w:r>
      <w:r w:rsidRPr="00C304E6">
        <w:rPr>
          <w:rStyle w:val="Forte"/>
          <w:rFonts w:asciiTheme="minorHAnsi" w:hAnsiTheme="minorHAnsi" w:cs="Arial"/>
          <w:i/>
          <w:iCs/>
        </w:rPr>
        <w:t xml:space="preserve">Neste grupo discutiremos uma forma de apagar os registros, alteração e inibição do acesso </w:t>
      </w:r>
      <w:proofErr w:type="gramStart"/>
      <w:r w:rsidRPr="00C304E6">
        <w:rPr>
          <w:rStyle w:val="Forte"/>
          <w:rFonts w:asciiTheme="minorHAnsi" w:hAnsiTheme="minorHAnsi" w:cs="Arial"/>
          <w:i/>
          <w:iCs/>
        </w:rPr>
        <w:t>às</w:t>
      </w:r>
      <w:proofErr w:type="gramEnd"/>
      <w:r w:rsidRPr="00C304E6">
        <w:rPr>
          <w:rStyle w:val="Forte"/>
          <w:rFonts w:asciiTheme="minorHAnsi" w:hAnsiTheme="minorHAnsi" w:cs="Arial"/>
          <w:i/>
          <w:iCs/>
        </w:rPr>
        <w:t xml:space="preserve"> falta de greve.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 xml:space="preserve">O grupo de trabalho sobre PCMSO discutirá os problemas de afastamento, licenças e outros afastamentos dos funcionários. 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Oferta de 4 mil bolsas de estudo para cursos de graduação, destinadas aos funcionários não graduados, mediante processo seletivo a ser lançado em 2016, observados critérios e procedimentos a serem publicados nas Instruções Normativas Corporativas.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O número de 4.000 bolsas é mais que o dobro de bolsas ofertadas atualmente e desta forma, contemplará a todos os funcionários que pleiteiem o auxílio. Esta proposta contempla a todos os públicos, mas principalmente os escriturários, caixas e assistentes que tem menor pontuação nas concorrências para bolsas de estudo.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 xml:space="preserve">•          As novas agências do Banco do Brasil, aquelas que forem </w:t>
      </w:r>
      <w:proofErr w:type="spellStart"/>
      <w:r w:rsidRPr="00C304E6">
        <w:rPr>
          <w:rFonts w:asciiTheme="minorHAnsi" w:hAnsiTheme="minorHAnsi" w:cs="Arial"/>
        </w:rPr>
        <w:t>relocalizadas</w:t>
      </w:r>
      <w:proofErr w:type="spellEnd"/>
      <w:r w:rsidRPr="00C304E6">
        <w:rPr>
          <w:rFonts w:asciiTheme="minorHAnsi" w:hAnsiTheme="minorHAnsi" w:cs="Arial"/>
        </w:rPr>
        <w:t xml:space="preserve"> e as que passarem por reformas de grande vulto serão dotadas de equipamento de detecção de metais, exceto quando forem consideradas de baixo risco pela área competente do Banco.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Item da pauta de segurança da minuta. É um compromisso do banco em instalar porta giratória em todas as agências a partir de agora. As exceções, como agências aéreas ou de shoppings (as que não tem) serão listadas até a assinatura do acordo.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Não será exigida a trava de relacionamento (365 dias) para nomeações até o final de 2015.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A trava cai para um ano em todas as unidades até 31/12. Recentemente o banco liberou a trava para alguns casos devido ao P.A.I – Plano de aposentadoria incentivada. Por reivindicação da campanha, cria uma janela de todos os casos até 31/12.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lastRenderedPageBreak/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 xml:space="preserve">•          Os funcionários cedidos </w:t>
      </w:r>
      <w:proofErr w:type="gramStart"/>
      <w:r w:rsidRPr="00C304E6">
        <w:rPr>
          <w:rFonts w:asciiTheme="minorHAnsi" w:hAnsiTheme="minorHAnsi" w:cs="Arial"/>
        </w:rPr>
        <w:t>à</w:t>
      </w:r>
      <w:proofErr w:type="gramEnd"/>
      <w:r w:rsidRPr="00C304E6">
        <w:rPr>
          <w:rFonts w:asciiTheme="minorHAnsi" w:hAnsiTheme="minorHAnsi" w:cs="Arial"/>
        </w:rPr>
        <w:t xml:space="preserve"> Cassi serão incluídos no ACT-PLR.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Com esta proposta, os funcionários cedidos à Cassi terão a PLR paga pelo BB e não mais do caixa da Cassi. É um alívio de cerca de 2 milhões por semestre nas contas da Cassi.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Ressarcimento dos custos com inscrição para a prova de Certificação legal CPA para os escriturários, caixas executivos e atendentes (SAC e CCABB). O ressarcimento se dará a partir de janeiros de 2016, mediante o atendimento das seguintes condições, cumulativamente: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1.         Não ter certificação legal vigente CPA-10 e CPA-</w:t>
      </w:r>
      <w:proofErr w:type="gramStart"/>
      <w:r w:rsidRPr="00C304E6">
        <w:rPr>
          <w:rFonts w:asciiTheme="minorHAnsi" w:hAnsiTheme="minorHAnsi" w:cs="Arial"/>
        </w:rPr>
        <w:t>20</w:t>
      </w:r>
      <w:proofErr w:type="gramEnd"/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 xml:space="preserve">2.         Ter concluído com aprovação o curso de capacitação para a CPA-10 disponibilizando no Portal </w:t>
      </w:r>
      <w:proofErr w:type="spellStart"/>
      <w:proofErr w:type="gramStart"/>
      <w:r w:rsidRPr="00C304E6">
        <w:rPr>
          <w:rFonts w:asciiTheme="minorHAnsi" w:hAnsiTheme="minorHAnsi" w:cs="Arial"/>
        </w:rPr>
        <w:t>UniBB</w:t>
      </w:r>
      <w:proofErr w:type="spellEnd"/>
      <w:proofErr w:type="gramEnd"/>
      <w:r w:rsidRPr="00C304E6">
        <w:rPr>
          <w:rFonts w:asciiTheme="minorHAnsi" w:hAnsiTheme="minorHAnsi" w:cs="Arial"/>
        </w:rPr>
        <w:t xml:space="preserve"> (código Educa 2983), previamente à aprovação na Certificação legal, mediante registro no cadastro de formação profissional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3.         Apresentar o requerimento de ressarcimento em até 45 dias após a aprovação na certificação legal, conforme definição em normativo específico.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 proposta é reivindicação dos funcionários que não são público alvo</w:t>
      </w:r>
      <w:proofErr w:type="gramStart"/>
      <w:r w:rsidRPr="00C304E6">
        <w:rPr>
          <w:rStyle w:val="nfase"/>
          <w:rFonts w:asciiTheme="minorHAnsi" w:hAnsiTheme="minorHAnsi" w:cs="Arial"/>
        </w:rPr>
        <w:t xml:space="preserve"> mas</w:t>
      </w:r>
      <w:proofErr w:type="gramEnd"/>
      <w:r w:rsidRPr="00C304E6">
        <w:rPr>
          <w:rStyle w:val="nfase"/>
          <w:rFonts w:asciiTheme="minorHAnsi" w:hAnsiTheme="minorHAnsi" w:cs="Arial"/>
        </w:rPr>
        <w:t xml:space="preserve"> que querem fazer a certificação CPA10 para participar de concorrências. </w:t>
      </w:r>
    </w:p>
    <w:p w:rsidR="00DA3AE0" w:rsidRPr="00C304E6" w:rsidRDefault="00DA3AE0" w:rsidP="00DA3AE0">
      <w:pPr>
        <w:spacing w:before="100" w:beforeAutospacing="1" w:after="100" w:afterAutospacing="1"/>
        <w:ind w:left="708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Benefício – Gestação Alto Risco: abonar horas para a realização de até 4 consultas e exames por mês e autorizar adição como escriturária no interesse da funcionária, mediante indicação médica.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t>Esta proposta foi apresentada durante as mesas de negociação da Campanha Nacional. Existem situações de gravidez que são de alto risco, mas sem a necessidade de afastamento por licença. Com esta proposta a mulher grávida com alto risco comprovado aumentará de 1 para 4 as consultas por mês. A adição como escriturária poderá acontecer caso a funcionária detentora de cargo comissionado opte por mudar de cidade para maior tranquilidade na gravidez. Ela vai adida como escriturária, mas volta ao cargo ao final da adição.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•          Oportunidades para funcionários de PSO: implementar ações de integração entre PSO e agências que abrangem oportunidades de capacitação, adição cruzada entre escriturários, revisão de parâmetros TAO e estágios.</w:t>
      </w:r>
    </w:p>
    <w:p w:rsidR="00DA3AE0" w:rsidRPr="00C304E6" w:rsidRDefault="00DA3AE0" w:rsidP="00DA3AE0">
      <w:pPr>
        <w:spacing w:before="100" w:beforeAutospacing="1" w:after="100" w:afterAutospacing="1"/>
        <w:ind w:left="1416"/>
        <w:jc w:val="both"/>
        <w:rPr>
          <w:rFonts w:asciiTheme="minorHAnsi" w:hAnsiTheme="minorHAnsi"/>
        </w:rPr>
      </w:pPr>
      <w:r w:rsidRPr="00C304E6">
        <w:rPr>
          <w:rStyle w:val="nfase"/>
          <w:rFonts w:asciiTheme="minorHAnsi" w:hAnsiTheme="minorHAnsi" w:cs="Arial"/>
        </w:rPr>
        <w:lastRenderedPageBreak/>
        <w:t>Esta proposta foi apresentada durante as mesas de negociação da Campanha Nacional. Os funcionários do PSO poderão, por opção buscar integração com as unidades de negócio via adição, cursos e público alvo de concorrências e seleção. O mesmo vale para funcionários da rede que querem ir para o PSO.</w:t>
      </w:r>
    </w:p>
    <w:p w:rsidR="00DA3AE0" w:rsidRPr="00C304E6" w:rsidRDefault="00DA3AE0" w:rsidP="00DA3AE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Wagner Nascimento</w:t>
      </w:r>
      <w:r w:rsidRPr="00C304E6">
        <w:rPr>
          <w:rFonts w:asciiTheme="minorHAnsi" w:hAnsiTheme="minorHAnsi" w:cs="Arial"/>
        </w:rPr>
        <w:br/>
        <w:t>Coordenador da Comissão de Empresa dos Funcionários do BB</w:t>
      </w:r>
      <w:r w:rsidRPr="00C304E6">
        <w:rPr>
          <w:rFonts w:asciiTheme="minorHAnsi" w:hAnsiTheme="minorHAnsi" w:cs="Arial"/>
        </w:rPr>
        <w:br/>
      </w:r>
      <w:r w:rsidRPr="00C304E6">
        <w:rPr>
          <w:rFonts w:asciiTheme="minorHAnsi" w:hAnsiTheme="minorHAnsi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 w:cs="Arial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/>
        </w:rPr>
        <w:t> </w:t>
      </w:r>
    </w:p>
    <w:p w:rsidR="00DA3AE0" w:rsidRPr="00C304E6" w:rsidRDefault="00DA3AE0" w:rsidP="00DA3AE0">
      <w:pPr>
        <w:pStyle w:val="NormalWeb"/>
        <w:rPr>
          <w:rFonts w:asciiTheme="minorHAnsi" w:hAnsiTheme="minorHAnsi"/>
        </w:rPr>
      </w:pPr>
      <w:r w:rsidRPr="00C304E6">
        <w:rPr>
          <w:rFonts w:asciiTheme="minorHAnsi" w:hAnsiTheme="minorHAnsi"/>
        </w:rPr>
        <w:t> </w:t>
      </w:r>
    </w:p>
    <w:p w:rsidR="00134CD9" w:rsidRPr="00C304E6" w:rsidRDefault="00134CD9">
      <w:pPr>
        <w:rPr>
          <w:rFonts w:asciiTheme="minorHAnsi" w:hAnsiTheme="minorHAnsi"/>
        </w:rPr>
      </w:pPr>
    </w:p>
    <w:sectPr w:rsidR="00134CD9" w:rsidRPr="00C3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0"/>
    <w:rsid w:val="00134CD9"/>
    <w:rsid w:val="00A24354"/>
    <w:rsid w:val="00C304E6"/>
    <w:rsid w:val="00DA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E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AE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A3AE0"/>
    <w:rPr>
      <w:i/>
      <w:iCs/>
    </w:rPr>
  </w:style>
  <w:style w:type="character" w:styleId="Forte">
    <w:name w:val="Strong"/>
    <w:basedOn w:val="Fontepargpadro"/>
    <w:uiPriority w:val="22"/>
    <w:qFormat/>
    <w:rsid w:val="00DA3AE0"/>
    <w:rPr>
      <w:b/>
      <w:bCs/>
    </w:rPr>
  </w:style>
  <w:style w:type="paragraph" w:styleId="SemEspaamento">
    <w:name w:val="No Spacing"/>
    <w:uiPriority w:val="1"/>
    <w:qFormat/>
    <w:rsid w:val="00C30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E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AE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A3AE0"/>
    <w:rPr>
      <w:i/>
      <w:iCs/>
    </w:rPr>
  </w:style>
  <w:style w:type="character" w:styleId="Forte">
    <w:name w:val="Strong"/>
    <w:basedOn w:val="Fontepargpadro"/>
    <w:uiPriority w:val="22"/>
    <w:qFormat/>
    <w:rsid w:val="00DA3AE0"/>
    <w:rPr>
      <w:b/>
      <w:bCs/>
    </w:rPr>
  </w:style>
  <w:style w:type="paragraph" w:styleId="SemEspaamento">
    <w:name w:val="No Spacing"/>
    <w:uiPriority w:val="1"/>
    <w:qFormat/>
    <w:rsid w:val="00C3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Sibele</cp:lastModifiedBy>
  <cp:revision>2</cp:revision>
  <dcterms:created xsi:type="dcterms:W3CDTF">2015-10-26T15:41:00Z</dcterms:created>
  <dcterms:modified xsi:type="dcterms:W3CDTF">2015-10-26T15:41:00Z</dcterms:modified>
</cp:coreProperties>
</file>